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C4BA7" w14:textId="77777777" w:rsidR="00BB7461" w:rsidRDefault="00BB7461" w:rsidP="00BB7461">
      <w:pPr>
        <w:rPr>
          <w:color w:val="1F497D"/>
        </w:rPr>
      </w:pPr>
      <w:r>
        <w:rPr>
          <w:color w:val="1F497D"/>
        </w:rPr>
        <w:t>This announcement is from the Segerstrom Center for the Arts, located in Costa Mesa. Please note that the deadline to apply for spring internships is</w:t>
      </w:r>
      <w:r>
        <w:rPr>
          <w:b/>
          <w:bCs/>
          <w:color w:val="1F497D"/>
          <w:u w:val="single"/>
        </w:rPr>
        <w:t xml:space="preserve"> Friday, Dec. 10, 2021</w:t>
      </w:r>
      <w:r>
        <w:rPr>
          <w:color w:val="1F497D"/>
        </w:rPr>
        <w:t>. The internship in Development and the three internships in Marketing and Communications meet the requirements for credit in JOUR 498.</w:t>
      </w:r>
    </w:p>
    <w:p w14:paraId="461F0090" w14:textId="77777777" w:rsidR="00BB7461" w:rsidRDefault="00BB7461" w:rsidP="00BB7461">
      <w:pPr>
        <w:rPr>
          <w:color w:val="1F497D"/>
        </w:rPr>
      </w:pPr>
    </w:p>
    <w:p w14:paraId="2E656550" w14:textId="77777777" w:rsidR="00BB7461" w:rsidRDefault="00BB7461" w:rsidP="00BB7461">
      <w:r>
        <w:t>Greetings from Segerstrom Center for the Arts,</w:t>
      </w:r>
    </w:p>
    <w:p w14:paraId="2054FFD5" w14:textId="77777777" w:rsidR="00BB7461" w:rsidRDefault="00BB7461" w:rsidP="00BB7461"/>
    <w:p w14:paraId="1282D9B2" w14:textId="4C3B771A" w:rsidR="00BB7461" w:rsidRDefault="00BB7461" w:rsidP="00BB7461">
      <w:r>
        <w:t xml:space="preserve">We are excited to share with you our Spring internship opportunities available at the Center for your students. These are </w:t>
      </w:r>
      <w:proofErr w:type="gramStart"/>
      <w:r>
        <w:t>12 week</w:t>
      </w:r>
      <w:proofErr w:type="gramEnd"/>
      <w:r>
        <w:t xml:space="preserve">, academic internships in arts administration, working side by side with the Center’s staff, artists and technicians. An internship at the Center offers the opportunity to explore this field, make connections, attend professional development </w:t>
      </w:r>
      <w:proofErr w:type="gramStart"/>
      <w:r>
        <w:t>sessions</w:t>
      </w:r>
      <w:proofErr w:type="gramEnd"/>
      <w:r>
        <w:t xml:space="preserve"> and see world class performances with our comp and discount ticket program. This program continues to grow - in fact, we had </w:t>
      </w:r>
      <w:proofErr w:type="gramStart"/>
      <w:r>
        <w:t>are</w:t>
      </w:r>
      <w:proofErr w:type="gramEnd"/>
      <w:r>
        <w:t xml:space="preserve"> largest intern class to date this fall with 10 interns in 7 different departments. It is also worth noting that while our program does not guarantee employment, over 20% of our past interns have gone on to work at the Center!</w:t>
      </w:r>
    </w:p>
    <w:p w14:paraId="40E6318B" w14:textId="77777777" w:rsidR="00BB7461" w:rsidRDefault="00BB7461" w:rsidP="00BB7461"/>
    <w:p w14:paraId="5A077DF5" w14:textId="77777777" w:rsidR="00BB7461" w:rsidRDefault="00BB7461" w:rsidP="00BB7461">
      <w:r>
        <w:t>This coming Spring, the following internships are available:</w:t>
      </w:r>
    </w:p>
    <w:p w14:paraId="6C77FF63" w14:textId="77777777" w:rsidR="00BB7461" w:rsidRDefault="00BB7461" w:rsidP="00BB7461"/>
    <w:p w14:paraId="528D5B92" w14:textId="77777777" w:rsidR="00BB7461" w:rsidRDefault="00BB7461" w:rsidP="00BB7461">
      <w:pPr>
        <w:numPr>
          <w:ilvl w:val="0"/>
          <w:numId w:val="1"/>
        </w:numPr>
        <w:rPr>
          <w:rFonts w:eastAsia="Times New Roman"/>
        </w:rPr>
      </w:pPr>
      <w:r>
        <w:rPr>
          <w:rFonts w:eastAsia="Times New Roman"/>
        </w:rPr>
        <w:t>Community Engagement (2 interns)</w:t>
      </w:r>
    </w:p>
    <w:p w14:paraId="13FECB61" w14:textId="77777777" w:rsidR="00BB7461" w:rsidRDefault="00BB7461" w:rsidP="00BB7461">
      <w:pPr>
        <w:numPr>
          <w:ilvl w:val="0"/>
          <w:numId w:val="1"/>
        </w:numPr>
        <w:rPr>
          <w:rFonts w:eastAsia="Times New Roman"/>
        </w:rPr>
      </w:pPr>
      <w:r>
        <w:rPr>
          <w:rFonts w:eastAsia="Times New Roman"/>
        </w:rPr>
        <w:t>Education (1 intern)</w:t>
      </w:r>
    </w:p>
    <w:p w14:paraId="30CD0BD3" w14:textId="77777777" w:rsidR="00BB7461" w:rsidRDefault="00BB7461" w:rsidP="00BB7461">
      <w:pPr>
        <w:numPr>
          <w:ilvl w:val="0"/>
          <w:numId w:val="1"/>
        </w:numPr>
        <w:rPr>
          <w:rFonts w:eastAsia="Times New Roman"/>
        </w:rPr>
      </w:pPr>
      <w:r>
        <w:rPr>
          <w:rFonts w:eastAsia="Times New Roman"/>
        </w:rPr>
        <w:t>Development (1 intern)</w:t>
      </w:r>
    </w:p>
    <w:p w14:paraId="454B7159" w14:textId="77777777" w:rsidR="00BB7461" w:rsidRDefault="00BB7461" w:rsidP="00BB7461">
      <w:pPr>
        <w:numPr>
          <w:ilvl w:val="0"/>
          <w:numId w:val="1"/>
        </w:numPr>
        <w:rPr>
          <w:rFonts w:eastAsia="Times New Roman"/>
        </w:rPr>
      </w:pPr>
      <w:r>
        <w:rPr>
          <w:rFonts w:eastAsia="Times New Roman"/>
        </w:rPr>
        <w:t>Guest Services (1 intern)</w:t>
      </w:r>
    </w:p>
    <w:p w14:paraId="7A48390C" w14:textId="77777777" w:rsidR="00BB7461" w:rsidRDefault="00BB7461" w:rsidP="00BB7461">
      <w:pPr>
        <w:numPr>
          <w:ilvl w:val="0"/>
          <w:numId w:val="1"/>
        </w:numPr>
        <w:rPr>
          <w:rFonts w:eastAsia="Times New Roman"/>
        </w:rPr>
      </w:pPr>
      <w:r>
        <w:rPr>
          <w:rFonts w:eastAsia="Times New Roman"/>
        </w:rPr>
        <w:t>Marketing &amp; Communications (2-3 interns)</w:t>
      </w:r>
    </w:p>
    <w:p w14:paraId="3FC179C5" w14:textId="77777777" w:rsidR="00BB7461" w:rsidRDefault="00BB7461" w:rsidP="00BB7461">
      <w:pPr>
        <w:numPr>
          <w:ilvl w:val="0"/>
          <w:numId w:val="1"/>
        </w:numPr>
        <w:rPr>
          <w:rFonts w:eastAsia="Times New Roman"/>
        </w:rPr>
      </w:pPr>
      <w:r>
        <w:rPr>
          <w:rFonts w:eastAsia="Times New Roman"/>
        </w:rPr>
        <w:t>Special Events (1 intern)</w:t>
      </w:r>
    </w:p>
    <w:p w14:paraId="7C695081" w14:textId="77777777" w:rsidR="00BB7461" w:rsidRDefault="00BB7461" w:rsidP="00BB7461">
      <w:pPr>
        <w:numPr>
          <w:ilvl w:val="0"/>
          <w:numId w:val="1"/>
        </w:numPr>
        <w:rPr>
          <w:rFonts w:eastAsia="Times New Roman"/>
        </w:rPr>
      </w:pPr>
      <w:r>
        <w:rPr>
          <w:rFonts w:eastAsia="Times New Roman"/>
        </w:rPr>
        <w:t>Theater Operations (1 intern)</w:t>
      </w:r>
    </w:p>
    <w:p w14:paraId="6F42722D" w14:textId="77777777" w:rsidR="00BB7461" w:rsidRDefault="00BB7461" w:rsidP="00BB7461"/>
    <w:p w14:paraId="6323185D" w14:textId="77777777" w:rsidR="00BB7461" w:rsidRDefault="00BB7461" w:rsidP="00BB7461">
      <w:r>
        <w:t xml:space="preserve">For more details on the program and to apply, students may visit us at </w:t>
      </w:r>
      <w:hyperlink r:id="rId5" w:history="1">
        <w:r>
          <w:rPr>
            <w:rStyle w:val="Hyperlink"/>
          </w:rPr>
          <w:t>www.scfta.org/interns</w:t>
        </w:r>
      </w:hyperlink>
      <w:r>
        <w:t xml:space="preserve"> or email us at </w:t>
      </w:r>
      <w:hyperlink r:id="rId6" w:history="1">
        <w:r>
          <w:rPr>
            <w:rStyle w:val="Hyperlink"/>
          </w:rPr>
          <w:t>interns@scfta.org</w:t>
        </w:r>
      </w:hyperlink>
      <w:r>
        <w:t>. If you have any questions, please do not hesitate to ask and I look forward to reviewing applications from your students soon!</w:t>
      </w:r>
    </w:p>
    <w:p w14:paraId="546A96E7" w14:textId="77777777" w:rsidR="00BB7461" w:rsidRDefault="00BB7461" w:rsidP="00BB7461"/>
    <w:p w14:paraId="182C0412" w14:textId="77777777" w:rsidR="00BB7461" w:rsidRDefault="00BB7461" w:rsidP="00BB7461">
      <w:r>
        <w:t>Sincerely,</w:t>
      </w:r>
    </w:p>
    <w:p w14:paraId="6BA4EC72" w14:textId="77777777" w:rsidR="00BB7461" w:rsidRDefault="00BB7461" w:rsidP="00BB7461"/>
    <w:tbl>
      <w:tblPr>
        <w:tblW w:w="7380" w:type="dxa"/>
        <w:tblCellMar>
          <w:left w:w="0" w:type="dxa"/>
          <w:right w:w="0" w:type="dxa"/>
        </w:tblCellMar>
        <w:tblLook w:val="04A0" w:firstRow="1" w:lastRow="0" w:firstColumn="1" w:lastColumn="0" w:noHBand="0" w:noVBand="1"/>
      </w:tblPr>
      <w:tblGrid>
        <w:gridCol w:w="2466"/>
        <w:gridCol w:w="4914"/>
      </w:tblGrid>
      <w:tr w:rsidR="00BB7461" w14:paraId="688E05FA" w14:textId="77777777" w:rsidTr="00BB7461">
        <w:trPr>
          <w:trHeight w:val="1214"/>
        </w:trPr>
        <w:tc>
          <w:tcPr>
            <w:tcW w:w="2466" w:type="dxa"/>
            <w:tcBorders>
              <w:top w:val="nil"/>
              <w:left w:val="nil"/>
              <w:bottom w:val="nil"/>
              <w:right w:val="single" w:sz="12" w:space="0" w:color="ED7D31"/>
            </w:tcBorders>
            <w:tcMar>
              <w:top w:w="0" w:type="dxa"/>
              <w:left w:w="108" w:type="dxa"/>
              <w:bottom w:w="0" w:type="dxa"/>
              <w:right w:w="108" w:type="dxa"/>
            </w:tcMar>
            <w:hideMark/>
          </w:tcPr>
          <w:p w14:paraId="310FBD50" w14:textId="404111F4" w:rsidR="00BB7461" w:rsidRDefault="00BB7461">
            <w:pPr>
              <w:rPr>
                <w:sz w:val="18"/>
                <w:szCs w:val="18"/>
              </w:rPr>
            </w:pPr>
            <w:r>
              <w:rPr>
                <w:noProof/>
              </w:rPr>
              <w:drawing>
                <wp:inline distT="0" distB="0" distL="0" distR="0" wp14:anchorId="1F657694" wp14:editId="2B283334">
                  <wp:extent cx="1371600" cy="4191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71600" cy="419100"/>
                          </a:xfrm>
                          <a:prstGeom prst="rect">
                            <a:avLst/>
                          </a:prstGeom>
                          <a:noFill/>
                          <a:ln>
                            <a:noFill/>
                          </a:ln>
                        </pic:spPr>
                      </pic:pic>
                    </a:graphicData>
                  </a:graphic>
                </wp:inline>
              </w:drawing>
            </w:r>
          </w:p>
        </w:tc>
        <w:tc>
          <w:tcPr>
            <w:tcW w:w="4914" w:type="dxa"/>
            <w:tcMar>
              <w:top w:w="0" w:type="dxa"/>
              <w:left w:w="108" w:type="dxa"/>
              <w:bottom w:w="0" w:type="dxa"/>
              <w:right w:w="108" w:type="dxa"/>
            </w:tcMar>
          </w:tcPr>
          <w:p w14:paraId="43DE6F1E" w14:textId="77777777" w:rsidR="00BB7461" w:rsidRDefault="00BB7461">
            <w:pPr>
              <w:rPr>
                <w:b/>
                <w:bCs/>
                <w:color w:val="000000"/>
              </w:rPr>
            </w:pPr>
            <w:r>
              <w:rPr>
                <w:b/>
                <w:bCs/>
                <w:color w:val="000000"/>
              </w:rPr>
              <w:t xml:space="preserve">Bethany </w:t>
            </w:r>
            <w:proofErr w:type="spellStart"/>
            <w:r>
              <w:rPr>
                <w:b/>
                <w:bCs/>
                <w:color w:val="000000"/>
              </w:rPr>
              <w:t>Umbach</w:t>
            </w:r>
            <w:proofErr w:type="spellEnd"/>
          </w:p>
          <w:p w14:paraId="4759AF8F" w14:textId="77777777" w:rsidR="00BB7461" w:rsidRDefault="00BB7461">
            <w:pPr>
              <w:rPr>
                <w:color w:val="000000"/>
              </w:rPr>
            </w:pPr>
            <w:r>
              <w:rPr>
                <w:color w:val="000000"/>
              </w:rPr>
              <w:t>Senior Manager, Education Programs</w:t>
            </w:r>
          </w:p>
          <w:p w14:paraId="56B0DCBC" w14:textId="77777777" w:rsidR="00BB7461" w:rsidRDefault="00BB7461">
            <w:pPr>
              <w:rPr>
                <w:color w:val="000000"/>
              </w:rPr>
            </w:pPr>
            <w:hyperlink r:id="rId9" w:history="1">
              <w:r>
                <w:rPr>
                  <w:rStyle w:val="Hyperlink"/>
                </w:rPr>
                <w:t>bumbach@scfta.org</w:t>
              </w:r>
            </w:hyperlink>
            <w:r>
              <w:rPr>
                <w:color w:val="000000"/>
              </w:rPr>
              <w:t xml:space="preserve"> </w:t>
            </w:r>
          </w:p>
          <w:p w14:paraId="5A1105B1" w14:textId="77777777" w:rsidR="00BB7461" w:rsidRDefault="00BB7461">
            <w:pPr>
              <w:rPr>
                <w:color w:val="000000"/>
                <w:lang w:val="fr-FR"/>
              </w:rPr>
            </w:pPr>
            <w:r>
              <w:rPr>
                <w:color w:val="ED7D31"/>
                <w:lang w:val="fr-FR"/>
              </w:rPr>
              <w:t>Office</w:t>
            </w:r>
            <w:r>
              <w:rPr>
                <w:color w:val="000000"/>
                <w:lang w:val="fr-FR"/>
              </w:rPr>
              <w:t xml:space="preserve"> : 714-556-2122 x 4586</w:t>
            </w:r>
          </w:p>
          <w:p w14:paraId="5A1438A2" w14:textId="77777777" w:rsidR="00BB7461" w:rsidRDefault="00BB7461">
            <w:pPr>
              <w:rPr>
                <w:color w:val="000000"/>
                <w:lang w:val="fr-FR"/>
              </w:rPr>
            </w:pPr>
          </w:p>
          <w:p w14:paraId="54CD76D1" w14:textId="77777777" w:rsidR="00BB7461" w:rsidRDefault="00BB7461">
            <w:pPr>
              <w:rPr>
                <w:color w:val="FF0000"/>
                <w:lang w:val="fr-FR"/>
              </w:rPr>
            </w:pPr>
            <w:hyperlink r:id="rId10" w:history="1">
              <w:r>
                <w:rPr>
                  <w:rStyle w:val="Hyperlink"/>
                  <w:color w:val="FF0000"/>
                  <w:u w:val="none"/>
                  <w:lang w:val="fr-FR"/>
                </w:rPr>
                <w:t>www.SCFTA.org</w:t>
              </w:r>
            </w:hyperlink>
            <w:r>
              <w:rPr>
                <w:color w:val="FF0000"/>
              </w:rPr>
              <w:t xml:space="preserve"> </w:t>
            </w:r>
          </w:p>
          <w:p w14:paraId="69541334" w14:textId="77777777" w:rsidR="00BB7461" w:rsidRDefault="00BB7461">
            <w:pPr>
              <w:rPr>
                <w:color w:val="000000"/>
              </w:rPr>
            </w:pPr>
            <w:r>
              <w:rPr>
                <w:color w:val="000000"/>
              </w:rPr>
              <w:t>600 Town Center Drive</w:t>
            </w:r>
          </w:p>
          <w:p w14:paraId="5971A594" w14:textId="77777777" w:rsidR="00BB7461" w:rsidRDefault="00BB7461">
            <w:pPr>
              <w:rPr>
                <w:color w:val="000000"/>
              </w:rPr>
            </w:pPr>
            <w:r>
              <w:rPr>
                <w:color w:val="000000"/>
              </w:rPr>
              <w:t>Costa Mesa, CA 92626</w:t>
            </w:r>
          </w:p>
          <w:p w14:paraId="77EA09FC" w14:textId="77777777" w:rsidR="00BB7461" w:rsidRDefault="00BB7461">
            <w:pPr>
              <w:rPr>
                <w:sz w:val="16"/>
                <w:szCs w:val="16"/>
              </w:rPr>
            </w:pPr>
          </w:p>
        </w:tc>
      </w:tr>
    </w:tbl>
    <w:p w14:paraId="6A47410A" w14:textId="77777777" w:rsidR="00E12326" w:rsidRDefault="00E12326"/>
    <w:sectPr w:rsidR="00E12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176BD"/>
    <w:multiLevelType w:val="hybridMultilevel"/>
    <w:tmpl w:val="FA866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61"/>
    <w:rsid w:val="00BB7461"/>
    <w:rsid w:val="00E1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90E9"/>
  <w15:chartTrackingRefBased/>
  <w15:docId w15:val="{C49BB298-A695-4386-AC5D-4E6EA896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4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8300">
      <w:bodyDiv w:val="1"/>
      <w:marLeft w:val="0"/>
      <w:marRight w:val="0"/>
      <w:marTop w:val="0"/>
      <w:marBottom w:val="0"/>
      <w:divBdr>
        <w:top w:val="none" w:sz="0" w:space="0" w:color="auto"/>
        <w:left w:val="none" w:sz="0" w:space="0" w:color="auto"/>
        <w:bottom w:val="none" w:sz="0" w:space="0" w:color="auto"/>
        <w:right w:val="none" w:sz="0" w:space="0" w:color="auto"/>
      </w:divBdr>
    </w:div>
    <w:div w:id="939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D098.89564DE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s@scfta.org" TargetMode="External"/><Relationship Id="rId11" Type="http://schemas.openxmlformats.org/officeDocument/2006/relationships/fontTable" Target="fontTable.xml"/><Relationship Id="rId5" Type="http://schemas.openxmlformats.org/officeDocument/2006/relationships/hyperlink" Target="https://nam12.safelinks.protection.outlook.com/?url=http%3A%2F%2Fwww.scfta.org%2Finterns&amp;data=04%7C01%7CDan.Olsen%40csulb.edu%7C2f411388c4f743dc92c408d99f0fa108%7Cd175679bacd34644be82af041982977a%7C0%7C0%7C637715711745964457%7CUnknown%7CTWFpbGZsb3d8eyJWIjoiMC4wLjAwMDAiLCJQIjoiV2luMzIiLCJBTiI6Ik1haWwiLCJXVCI6Mn0%3D%7C1000&amp;sdata=VeJ3JEFRfre1jE6NX5EgIQADA%2FfTCqsVNltd0yX%2Fb%2Fg%3D&amp;reserved=0" TargetMode="External"/><Relationship Id="rId10" Type="http://schemas.openxmlformats.org/officeDocument/2006/relationships/hyperlink" Target="https://nam12.safelinks.protection.outlook.com/?url=http%3A%2F%2Fwww.scfta.org%2F&amp;data=04%7C01%7CDan.Olsen%40csulb.edu%7C2f411388c4f743dc92c408d99f0fa108%7Cd175679bacd34644be82af041982977a%7C0%7C0%7C637715711745974454%7CUnknown%7CTWFpbGZsb3d8eyJWIjoiMC4wLjAwMDAiLCJQIjoiV2luMzIiLCJBTiI6Ik1haWwiLCJXVCI6Mn0%3D%7C1000&amp;sdata=HUAVvR45ITqdN6NSC8iXFJtWLxafqyO%2Bl3Cc0Ydocro%3D&amp;reserved=0" TargetMode="External"/><Relationship Id="rId4" Type="http://schemas.openxmlformats.org/officeDocument/2006/relationships/webSettings" Target="webSettings.xml"/><Relationship Id="rId9" Type="http://schemas.openxmlformats.org/officeDocument/2006/relationships/hyperlink" Target="mailto:bumbach@scf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Olsen</dc:creator>
  <cp:keywords/>
  <dc:description/>
  <cp:lastModifiedBy>Dan Olsen</cp:lastModifiedBy>
  <cp:revision>1</cp:revision>
  <dcterms:created xsi:type="dcterms:W3CDTF">2021-11-03T23:27:00Z</dcterms:created>
  <dcterms:modified xsi:type="dcterms:W3CDTF">2021-11-03T23:28:00Z</dcterms:modified>
</cp:coreProperties>
</file>